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FA9" w:rsidRDefault="002A2FA9" w:rsidP="002A2FA9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Выбор конструкций топок и их характеристики</w:t>
      </w:r>
    </w:p>
    <w:p w:rsidR="002A2FA9" w:rsidRDefault="002A2FA9" w:rsidP="002A2FA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топочных устройств характеризуется тепловой мощностью, тепловыми нагрузками колосниковой решетки и топочного объема, а также коэффициентом полезного действия. </w:t>
      </w:r>
    </w:p>
    <w:p w:rsidR="002A2FA9" w:rsidRDefault="002A2FA9" w:rsidP="002A2FA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Тепловая мощность топки – это количество теплоты Q</w:t>
      </w:r>
      <w:r w:rsidRPr="000B6B1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кВт, выделяемое в ней за единицу времени:</w:t>
      </w:r>
    </w:p>
    <w:p w:rsidR="002A2FA9" w:rsidRPr="000B6B19" w:rsidRDefault="002A2FA9" w:rsidP="002A2FA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Q</w:t>
      </w:r>
      <w:proofErr w:type="gramStart"/>
      <w:r>
        <w:rPr>
          <w:rFonts w:ascii="Times New Roman" w:hAnsi="Times New Roman"/>
          <w:sz w:val="28"/>
          <w:szCs w:val="28"/>
        </w:rPr>
        <w:t>=В</w:t>
      </w:r>
      <w:proofErr w:type="gramEnd"/>
      <w:r>
        <w:rPr>
          <w:rFonts w:ascii="Times New Roman" w:hAnsi="Times New Roman"/>
          <w:sz w:val="28"/>
          <w:szCs w:val="28"/>
        </w:rPr>
        <w:t>×Q</w:t>
      </w:r>
      <w:r>
        <w:rPr>
          <w:rFonts w:ascii="Times New Roman" w:hAnsi="Times New Roman"/>
          <w:sz w:val="28"/>
          <w:szCs w:val="28"/>
          <w:vertAlign w:val="subscript"/>
        </w:rPr>
        <w:t>н</w:t>
      </w:r>
      <w:r>
        <w:rPr>
          <w:rFonts w:ascii="Times New Roman" w:hAnsi="Times New Roman"/>
          <w:sz w:val="28"/>
          <w:szCs w:val="28"/>
          <w:vertAlign w:val="superscript"/>
        </w:rPr>
        <w:t>р</w:t>
      </w:r>
      <w:proofErr w:type="spellEnd"/>
    </w:p>
    <w:p w:rsidR="002A2FA9" w:rsidRDefault="002A2FA9" w:rsidP="002A2FA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</w:t>
      </w:r>
      <w:proofErr w:type="gramStart"/>
      <w:r>
        <w:rPr>
          <w:rFonts w:ascii="Times New Roman" w:hAnsi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/>
          <w:sz w:val="28"/>
          <w:szCs w:val="28"/>
        </w:rPr>
        <w:t xml:space="preserve"> – расход топлива,</w:t>
      </w:r>
    </w:p>
    <w:p w:rsidR="002A2FA9" w:rsidRPr="000B6B19" w:rsidRDefault="002A2FA9" w:rsidP="002A2FA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Q</w:t>
      </w:r>
      <w:proofErr w:type="gramEnd"/>
      <w:r>
        <w:rPr>
          <w:rFonts w:ascii="Times New Roman" w:hAnsi="Times New Roman"/>
          <w:sz w:val="28"/>
          <w:szCs w:val="28"/>
          <w:vertAlign w:val="subscript"/>
        </w:rPr>
        <w:t>н</w:t>
      </w:r>
      <w:r>
        <w:rPr>
          <w:rFonts w:ascii="Times New Roman" w:hAnsi="Times New Roman"/>
          <w:sz w:val="28"/>
          <w:szCs w:val="28"/>
          <w:vertAlign w:val="superscript"/>
        </w:rPr>
        <w:t>р</w:t>
      </w:r>
      <w:proofErr w:type="spellEnd"/>
      <w:r>
        <w:rPr>
          <w:rFonts w:ascii="Times New Roman" w:hAnsi="Times New Roman"/>
          <w:sz w:val="28"/>
          <w:szCs w:val="28"/>
        </w:rPr>
        <w:t xml:space="preserve"> – низшая теплота сгорания топлива.</w:t>
      </w:r>
    </w:p>
    <w:p w:rsidR="002A2FA9" w:rsidRDefault="002A2FA9" w:rsidP="002A2FA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Наметив общее количество и тип устанавливаемых котлов, выбирают в соответствии с родом топлива конструкцию топки и основные ее размеры, т.е. длину зеркала горения </w:t>
      </w:r>
      <w:proofErr w:type="spellStart"/>
      <w:r w:rsidRPr="00461BE1">
        <w:rPr>
          <w:rFonts w:ascii="Times New Roman" w:hAnsi="Times New Roman"/>
          <w:i/>
          <w:sz w:val="28"/>
          <w:szCs w:val="28"/>
        </w:rPr>
        <w:t>l</w:t>
      </w:r>
      <w:proofErr w:type="spellEnd"/>
      <w:r>
        <w:rPr>
          <w:rFonts w:ascii="Times New Roman" w:hAnsi="Times New Roman"/>
          <w:sz w:val="28"/>
          <w:szCs w:val="28"/>
        </w:rPr>
        <w:t xml:space="preserve">, ширину ее </w:t>
      </w:r>
      <w:proofErr w:type="spellStart"/>
      <w:r>
        <w:rPr>
          <w:rFonts w:ascii="Times New Roman" w:hAnsi="Times New Roman"/>
          <w:sz w:val="28"/>
          <w:szCs w:val="28"/>
        </w:rPr>
        <w:t>b</w:t>
      </w:r>
      <w:proofErr w:type="spellEnd"/>
      <w:r>
        <w:rPr>
          <w:rFonts w:ascii="Times New Roman" w:hAnsi="Times New Roman"/>
          <w:sz w:val="28"/>
          <w:szCs w:val="28"/>
        </w:rPr>
        <w:t xml:space="preserve"> и высоту топочного пространства </w:t>
      </w:r>
      <w:proofErr w:type="spellStart"/>
      <w:r>
        <w:rPr>
          <w:rFonts w:ascii="Times New Roman" w:hAnsi="Times New Roman"/>
          <w:sz w:val="28"/>
          <w:szCs w:val="28"/>
        </w:rPr>
        <w:t>h</w:t>
      </w:r>
      <w:proofErr w:type="spellEnd"/>
      <w:r>
        <w:rPr>
          <w:rFonts w:ascii="Times New Roman" w:hAnsi="Times New Roman"/>
          <w:sz w:val="28"/>
          <w:szCs w:val="28"/>
        </w:rPr>
        <w:t xml:space="preserve">. Затем подсчитывают площадь зеркала горения </w:t>
      </w:r>
      <w:proofErr w:type="spellStart"/>
      <w:r>
        <w:rPr>
          <w:rFonts w:ascii="Times New Roman" w:hAnsi="Times New Roman"/>
          <w:sz w:val="28"/>
          <w:szCs w:val="28"/>
        </w:rPr>
        <w:t>R=</w:t>
      </w:r>
      <w:r w:rsidRPr="00461BE1">
        <w:rPr>
          <w:rFonts w:ascii="Times New Roman" w:hAnsi="Times New Roman"/>
          <w:i/>
          <w:sz w:val="28"/>
          <w:szCs w:val="28"/>
        </w:rPr>
        <w:t>l</w:t>
      </w:r>
      <w:r>
        <w:rPr>
          <w:rFonts w:ascii="Times New Roman" w:hAnsi="Times New Roman"/>
          <w:sz w:val="28"/>
          <w:szCs w:val="28"/>
        </w:rPr>
        <w:t>×b</w:t>
      </w:r>
      <w:proofErr w:type="spellEnd"/>
      <w:r>
        <w:rPr>
          <w:rFonts w:ascii="Times New Roman" w:hAnsi="Times New Roman"/>
          <w:sz w:val="28"/>
          <w:szCs w:val="28"/>
        </w:rPr>
        <w:t xml:space="preserve"> и объем топочного пространства, 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:</w:t>
      </w:r>
    </w:p>
    <w:p w:rsidR="002A2FA9" w:rsidRDefault="002A2FA9" w:rsidP="002A2FA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A2FA9" w:rsidRDefault="002A2FA9" w:rsidP="002A2FA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V</w:t>
      </w:r>
      <w:proofErr w:type="gramEnd"/>
      <w:r>
        <w:rPr>
          <w:rFonts w:ascii="Times New Roman" w:hAnsi="Times New Roman"/>
          <w:sz w:val="28"/>
          <w:szCs w:val="28"/>
          <w:vertAlign w:val="subscript"/>
        </w:rPr>
        <w:t>т</w:t>
      </w:r>
      <w:r>
        <w:rPr>
          <w:rFonts w:ascii="Times New Roman" w:hAnsi="Times New Roman"/>
          <w:sz w:val="28"/>
          <w:szCs w:val="28"/>
        </w:rPr>
        <w:t>=h×R</w:t>
      </w:r>
      <w:proofErr w:type="spellEnd"/>
    </w:p>
    <w:p w:rsidR="002A2FA9" w:rsidRDefault="002A2FA9" w:rsidP="002A2FA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A2FA9" w:rsidRDefault="002A2FA9" w:rsidP="002A2FA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Зная размеры топок и тепловые напряжения и принимая значения коэффициента полезного действия котельной установки равным при экономайзеров η=0,7÷0,9 и без экономайзера η=0,6÷0,85, определяют </w:t>
      </w:r>
      <w:proofErr w:type="gramStart"/>
      <w:r>
        <w:rPr>
          <w:rFonts w:ascii="Times New Roman" w:hAnsi="Times New Roman"/>
          <w:sz w:val="28"/>
          <w:szCs w:val="28"/>
        </w:rPr>
        <w:t>вырабатываемое</w:t>
      </w:r>
      <w:proofErr w:type="gramEnd"/>
      <w:r>
        <w:rPr>
          <w:rFonts w:ascii="Times New Roman" w:hAnsi="Times New Roman"/>
          <w:sz w:val="28"/>
          <w:szCs w:val="28"/>
        </w:rPr>
        <w:t xml:space="preserve"> одним котлом количества тепла ккал/час по уравнению:</w:t>
      </w:r>
    </w:p>
    <w:p w:rsidR="002A2FA9" w:rsidRDefault="002A2FA9" w:rsidP="002A2FA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A2FA9" w:rsidRDefault="002A2FA9" w:rsidP="002A2FA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Q</w:t>
      </w:r>
      <w:proofErr w:type="gramEnd"/>
      <w:r>
        <w:rPr>
          <w:rFonts w:ascii="Times New Roman" w:hAnsi="Times New Roman"/>
          <w:sz w:val="28"/>
          <w:szCs w:val="28"/>
          <w:vertAlign w:val="subscript"/>
        </w:rPr>
        <w:t>к</w:t>
      </w:r>
      <w:r>
        <w:rPr>
          <w:rFonts w:ascii="Times New Roman" w:hAnsi="Times New Roman"/>
          <w:sz w:val="28"/>
          <w:szCs w:val="28"/>
        </w:rPr>
        <w:t>=</w:t>
      </w:r>
      <w:proofErr w:type="spellEnd"/>
      <w:r>
        <w:rPr>
          <w:rFonts w:ascii="Times New Roman" w:hAnsi="Times New Roman"/>
          <w:sz w:val="28"/>
          <w:szCs w:val="28"/>
        </w:rPr>
        <w:t>(Q/R)×R×</w:t>
      </w:r>
      <w:proofErr w:type="spellStart"/>
      <w:r>
        <w:rPr>
          <w:rFonts w:ascii="Times New Roman" w:hAnsi="Times New Roman"/>
          <w:sz w:val="28"/>
          <w:szCs w:val="28"/>
        </w:rPr>
        <w:t>η</w:t>
      </w:r>
      <w:proofErr w:type="spellEnd"/>
    </w:p>
    <w:p w:rsidR="002A2FA9" w:rsidRDefault="002A2FA9" w:rsidP="002A2FA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2A2FA9" w:rsidRDefault="002A2FA9" w:rsidP="002A2FA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Q</w:t>
      </w:r>
      <w:proofErr w:type="gramEnd"/>
      <w:r>
        <w:rPr>
          <w:rFonts w:ascii="Times New Roman" w:hAnsi="Times New Roman"/>
          <w:sz w:val="28"/>
          <w:szCs w:val="28"/>
          <w:vertAlign w:val="subscript"/>
        </w:rPr>
        <w:t>к</w:t>
      </w:r>
      <w:r>
        <w:rPr>
          <w:rFonts w:ascii="Times New Roman" w:hAnsi="Times New Roman"/>
          <w:sz w:val="28"/>
          <w:szCs w:val="28"/>
        </w:rPr>
        <w:t>=</w:t>
      </w:r>
      <w:proofErr w:type="spellEnd"/>
      <w:r>
        <w:rPr>
          <w:rFonts w:ascii="Times New Roman" w:hAnsi="Times New Roman"/>
          <w:sz w:val="28"/>
          <w:szCs w:val="28"/>
        </w:rPr>
        <w:t>(Q/</w:t>
      </w:r>
      <w:proofErr w:type="spellStart"/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vertAlign w:val="subscript"/>
        </w:rPr>
        <w:t>т</w:t>
      </w:r>
      <w:proofErr w:type="spellEnd"/>
      <w:r>
        <w:rPr>
          <w:rFonts w:ascii="Times New Roman" w:hAnsi="Times New Roman"/>
          <w:sz w:val="28"/>
          <w:szCs w:val="28"/>
        </w:rPr>
        <w:t>)×V</w:t>
      </w:r>
      <w:r>
        <w:rPr>
          <w:rFonts w:ascii="Times New Roman" w:hAnsi="Times New Roman"/>
          <w:sz w:val="28"/>
          <w:szCs w:val="28"/>
          <w:vertAlign w:val="subscript"/>
        </w:rPr>
        <w:t>т</w:t>
      </w:r>
      <w:r>
        <w:rPr>
          <w:rFonts w:ascii="Times New Roman" w:hAnsi="Times New Roman"/>
          <w:sz w:val="28"/>
          <w:szCs w:val="28"/>
        </w:rPr>
        <w:t>×η</w:t>
      </w:r>
    </w:p>
    <w:p w:rsidR="002A2FA9" w:rsidRPr="00E5274F" w:rsidRDefault="002A2FA9" w:rsidP="002A2FA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2A2FA9" w:rsidRDefault="002A2FA9" w:rsidP="002A2FA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Нижние пределы значений кпд относят к котельным, работающим на </w:t>
      </w:r>
      <w:proofErr w:type="gramStart"/>
      <w:r>
        <w:rPr>
          <w:rFonts w:ascii="Times New Roman" w:hAnsi="Times New Roman"/>
          <w:sz w:val="28"/>
          <w:szCs w:val="28"/>
        </w:rPr>
        <w:t>низко сортном</w:t>
      </w:r>
      <w:proofErr w:type="gramEnd"/>
      <w:r>
        <w:rPr>
          <w:rFonts w:ascii="Times New Roman" w:hAnsi="Times New Roman"/>
          <w:sz w:val="28"/>
          <w:szCs w:val="28"/>
        </w:rPr>
        <w:t xml:space="preserve"> твердом топливе (бурый уголь, торф и т.п.); верхние пределы к котельным, работающим на жидком и газообразном топливе.</w:t>
      </w:r>
    </w:p>
    <w:p w:rsidR="002A2FA9" w:rsidRDefault="002A2FA9" w:rsidP="002A2FA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A2FA9" w:rsidRPr="00BF12E2" w:rsidRDefault="002A2FA9" w:rsidP="002A2FA9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BF12E2">
        <w:rPr>
          <w:rFonts w:ascii="Times New Roman" w:hAnsi="Times New Roman"/>
          <w:b/>
          <w:sz w:val="28"/>
          <w:szCs w:val="28"/>
          <w:lang w:val="kk-KZ"/>
        </w:rPr>
        <w:t>Составление тепловой схемы</w:t>
      </w:r>
    </w:p>
    <w:p w:rsidR="002A2FA9" w:rsidRDefault="002A2FA9" w:rsidP="002A2FA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Принципиальную тепловую схему составляют после того, как определят тепловые нагрузки, установят параметры теплоносителя и выберут тип устанавливаемых котельных агрегатов.</w:t>
      </w:r>
    </w:p>
    <w:p w:rsidR="002A2FA9" w:rsidRDefault="002A2FA9" w:rsidP="002A2FA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В теплово</w:t>
      </w:r>
      <w:r>
        <w:rPr>
          <w:rFonts w:ascii="Times New Roman" w:hAnsi="Times New Roman"/>
          <w:sz w:val="28"/>
          <w:szCs w:val="28"/>
          <w:lang w:val="kk-KZ"/>
        </w:rPr>
        <w:tab/>
        <w:t>й схеме отображены протекающие в определенной последовательности тепловые процессы, связанные с трансформацией теплоносителя и исходной воды. При составлении схемы опрделяют все необходимые оборудование, участвующие в выработке теплоносителя заданных параметров, и устанавливается взаимосвязь между элементами этого оборудования. С помощью схемы составляется материальный баланс по отдельным статьям расхода и прихода вырабатываемого теплоносителя и исходной воды. Тепловая схема представляет собой по существу принятую схему теплоснабжения в целом, а сама схема служит ее наглядной иллюстрацией.</w:t>
      </w:r>
    </w:p>
    <w:p w:rsidR="00E37698" w:rsidRPr="002A2FA9" w:rsidRDefault="00E37698">
      <w:pPr>
        <w:rPr>
          <w:lang w:val="kk-KZ"/>
        </w:rPr>
      </w:pPr>
    </w:p>
    <w:sectPr w:rsidR="00E37698" w:rsidRPr="002A2FA9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A2FA9"/>
    <w:rsid w:val="002A2FA9"/>
    <w:rsid w:val="0093149C"/>
    <w:rsid w:val="00B64926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FA9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 w:line="240" w:lineRule="auto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1679</Characters>
  <Application>Microsoft Office Word</Application>
  <DocSecurity>0</DocSecurity>
  <Lines>13</Lines>
  <Paragraphs>3</Paragraphs>
  <ScaleCrop>false</ScaleCrop>
  <Company/>
  <LinksUpToDate>false</LinksUpToDate>
  <CharactersWithSpaces>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2020-10-11T14:32:00Z</dcterms:created>
  <dcterms:modified xsi:type="dcterms:W3CDTF">2020-10-11T14:32:00Z</dcterms:modified>
</cp:coreProperties>
</file>